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D69" w:rsidRDefault="002118B9" w:rsidP="002118B9">
      <w:pPr>
        <w:jc w:val="center"/>
      </w:pPr>
      <w:r>
        <w:t>Pleasant Valley High School</w:t>
      </w:r>
    </w:p>
    <w:p w:rsidR="002118B9" w:rsidRDefault="002118B9" w:rsidP="002118B9">
      <w:pPr>
        <w:jc w:val="center"/>
      </w:pPr>
      <w:r>
        <w:t>Anatomy and Physiology</w:t>
      </w:r>
    </w:p>
    <w:p w:rsidR="002118B9" w:rsidRDefault="002118B9" w:rsidP="002118B9">
      <w:pPr>
        <w:jc w:val="center"/>
      </w:pPr>
      <w:r>
        <w:t>Unit 6 Review Sheet – The Nervous System</w:t>
      </w:r>
    </w:p>
    <w:p w:rsidR="002118B9" w:rsidRDefault="002118B9" w:rsidP="002118B9">
      <w:pPr>
        <w:rPr>
          <w:b/>
        </w:rPr>
      </w:pPr>
      <w:r>
        <w:rPr>
          <w:b/>
        </w:rPr>
        <w:t xml:space="preserve">Know the function, definition, structure, etc. of each of the following terms. The test is 50 </w:t>
      </w:r>
      <w:proofErr w:type="gramStart"/>
      <w:r>
        <w:rPr>
          <w:b/>
        </w:rPr>
        <w:t>multiple choice</w:t>
      </w:r>
      <w:proofErr w:type="gramEnd"/>
      <w:r>
        <w:rPr>
          <w:b/>
        </w:rPr>
        <w:t xml:space="preserve"> questions. Do not rely on this list to be </w:t>
      </w:r>
      <w:proofErr w:type="gramStart"/>
      <w:r>
        <w:rPr>
          <w:b/>
        </w:rPr>
        <w:t>all inclusive</w:t>
      </w:r>
      <w:proofErr w:type="gramEnd"/>
      <w:r>
        <w:rPr>
          <w:b/>
        </w:rPr>
        <w:t xml:space="preserve">, simply use this as a guide from which to pace your studying. 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  <w:sectPr w:rsidR="002118B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lastRenderedPageBreak/>
        <w:t>Nervous system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Central nervous system (CNS)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Peripheral nervous system (PNS)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Afferent (sensory)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proofErr w:type="gramStart"/>
      <w:r>
        <w:rPr>
          <w:rFonts w:ascii="TTE2C092C8t00" w:hAnsi="TTE2C092C8t00" w:cs="TTE2C092C8t00"/>
        </w:rPr>
        <w:t>division/neurons/pathways</w:t>
      </w:r>
      <w:proofErr w:type="gramEnd"/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Efferent (motor)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proofErr w:type="gramStart"/>
      <w:r>
        <w:rPr>
          <w:rFonts w:ascii="TTE2C092C8t00" w:hAnsi="TTE2C092C8t00" w:cs="TTE2C092C8t00"/>
        </w:rPr>
        <w:t>division/neurons/pathways</w:t>
      </w:r>
      <w:proofErr w:type="gramEnd"/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Somatic nervous system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Autonomic nervous system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Sympathetic division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Parasympathetic division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Neurons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Dendrites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Axon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Synaptic terminals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Neuron cell body (soma)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proofErr w:type="spellStart"/>
      <w:r>
        <w:rPr>
          <w:rFonts w:ascii="TTE2C092C8t00" w:hAnsi="TTE2C092C8t00" w:cs="TTE2C092C8t00"/>
        </w:rPr>
        <w:t>Nissl</w:t>
      </w:r>
      <w:proofErr w:type="spellEnd"/>
      <w:r>
        <w:rPr>
          <w:rFonts w:ascii="TTE2C092C8t00" w:hAnsi="TTE2C092C8t00" w:cs="TTE2C092C8t00"/>
        </w:rPr>
        <w:t xml:space="preserve"> bodies (gray matter)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Synapse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Multipolar neuron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Unipolar neuron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Bipolar neuron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Sensory neurons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Motor neurons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Interneurons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Neuroglia (glial cells)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Astrocytes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Oligodendrocytes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Myelin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proofErr w:type="spellStart"/>
      <w:r>
        <w:rPr>
          <w:rFonts w:ascii="TTE2C092C8t00" w:hAnsi="TTE2C092C8t00" w:cs="TTE2C092C8t00"/>
        </w:rPr>
        <w:t>Myelinated</w:t>
      </w:r>
      <w:proofErr w:type="spellEnd"/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Unmyelinated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White matter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Gray matter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Microglia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Ependymal cells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Satellite cells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Schwann cells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Ganglia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lastRenderedPageBreak/>
        <w:t>Nerves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Neural cortex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Nuclei/centers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Tracts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Sensory (afferent) pathways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Motor (efferent) pathways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Membrane potential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Resting potential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Leak channels (Na</w:t>
      </w:r>
      <w:r>
        <w:rPr>
          <w:rFonts w:ascii="TTE2C092C8t00" w:hAnsi="TTE2C092C8t00" w:cs="TTE2C092C8t00"/>
          <w:sz w:val="14"/>
          <w:szCs w:val="14"/>
        </w:rPr>
        <w:t xml:space="preserve">+ </w:t>
      </w:r>
      <w:r>
        <w:rPr>
          <w:rFonts w:ascii="TTE2C092C8t00" w:hAnsi="TTE2C092C8t00" w:cs="TTE2C092C8t00"/>
        </w:rPr>
        <w:t>and K</w:t>
      </w:r>
      <w:r>
        <w:rPr>
          <w:rFonts w:ascii="TTE2C092C8t00" w:hAnsi="TTE2C092C8t00" w:cs="TTE2C092C8t00"/>
          <w:sz w:val="14"/>
          <w:szCs w:val="14"/>
        </w:rPr>
        <w:t>+</w:t>
      </w:r>
      <w:r>
        <w:rPr>
          <w:rFonts w:ascii="TTE2C092C8t00" w:hAnsi="TTE2C092C8t00" w:cs="TTE2C092C8t00"/>
        </w:rPr>
        <w:t>)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Gated channels (Na</w:t>
      </w:r>
      <w:r>
        <w:rPr>
          <w:rFonts w:ascii="TTE2C092C8t00" w:hAnsi="TTE2C092C8t00" w:cs="TTE2C092C8t00"/>
          <w:sz w:val="14"/>
          <w:szCs w:val="14"/>
        </w:rPr>
        <w:t xml:space="preserve">+ </w:t>
      </w:r>
      <w:r>
        <w:rPr>
          <w:rFonts w:ascii="TTE2C092C8t00" w:hAnsi="TTE2C092C8t00" w:cs="TTE2C092C8t00"/>
        </w:rPr>
        <w:t>and K</w:t>
      </w:r>
      <w:r>
        <w:rPr>
          <w:rFonts w:ascii="TTE2C092C8t00" w:hAnsi="TTE2C092C8t00" w:cs="TTE2C092C8t00"/>
          <w:sz w:val="14"/>
          <w:szCs w:val="14"/>
        </w:rPr>
        <w:t>+</w:t>
      </w:r>
      <w:r>
        <w:rPr>
          <w:rFonts w:ascii="TTE2C092C8t00" w:hAnsi="TTE2C092C8t00" w:cs="TTE2C092C8t00"/>
        </w:rPr>
        <w:t>)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Depolarization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Repolarization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Hyperpolarization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Graded potentials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Action potential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Threshold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All-or-none principle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Refractory period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Continuous propagation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proofErr w:type="spellStart"/>
      <w:r>
        <w:rPr>
          <w:rFonts w:ascii="TTE2C092C8t00" w:hAnsi="TTE2C092C8t00" w:cs="TTE2C092C8t00"/>
        </w:rPr>
        <w:t>Saltatory</w:t>
      </w:r>
      <w:proofErr w:type="spellEnd"/>
      <w:r>
        <w:rPr>
          <w:rFonts w:ascii="TTE2C092C8t00" w:hAnsi="TTE2C092C8t00" w:cs="TTE2C092C8t00"/>
        </w:rPr>
        <w:t xml:space="preserve"> propagation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Synapse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Synaptic knob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Presynaptic neuron/membrane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Postsynaptic neuron/membrane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Synaptic cleft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Neurotransmitter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Acetylcholine (</w:t>
      </w:r>
      <w:proofErr w:type="spellStart"/>
      <w:r>
        <w:rPr>
          <w:rFonts w:ascii="TTE2C092C8t00" w:hAnsi="TTE2C092C8t00" w:cs="TTE2C092C8t00"/>
        </w:rPr>
        <w:t>ACh</w:t>
      </w:r>
      <w:proofErr w:type="spellEnd"/>
      <w:r>
        <w:rPr>
          <w:rFonts w:ascii="TTE2C092C8t00" w:hAnsi="TTE2C092C8t00" w:cs="TTE2C092C8t00"/>
        </w:rPr>
        <w:t>)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Neuronal pools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Divergence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Convergence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Cerebrum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Cerebral hemispheres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Brain stem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Midbrain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Pons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lastRenderedPageBreak/>
        <w:t>Medulla oblongata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Cerebellum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proofErr w:type="spellStart"/>
      <w:r>
        <w:rPr>
          <w:rFonts w:ascii="TTE2C092C8t00" w:hAnsi="TTE2C092C8t00" w:cs="TTE2C092C8t00"/>
        </w:rPr>
        <w:t>Gyri</w:t>
      </w:r>
      <w:proofErr w:type="spellEnd"/>
      <w:r>
        <w:rPr>
          <w:rFonts w:ascii="TTE2C092C8t00" w:hAnsi="TTE2C092C8t00" w:cs="TTE2C092C8t00"/>
        </w:rPr>
        <w:t xml:space="preserve"> (sing. </w:t>
      </w:r>
      <w:proofErr w:type="spellStart"/>
      <w:r>
        <w:rPr>
          <w:rFonts w:ascii="TTE2C092C8t00" w:hAnsi="TTE2C092C8t00" w:cs="TTE2C092C8t00"/>
        </w:rPr>
        <w:t>Gyrus</w:t>
      </w:r>
      <w:proofErr w:type="spellEnd"/>
      <w:r>
        <w:rPr>
          <w:rFonts w:ascii="TTE2C092C8t00" w:hAnsi="TTE2C092C8t00" w:cs="TTE2C092C8t00"/>
        </w:rPr>
        <w:t>)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Sulci (sing. Sulcus)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Central sulcus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proofErr w:type="spellStart"/>
      <w:r>
        <w:rPr>
          <w:rFonts w:ascii="TTE2C092C8t00" w:hAnsi="TTE2C092C8t00" w:cs="TTE2C092C8t00"/>
        </w:rPr>
        <w:t>Precentral</w:t>
      </w:r>
      <w:proofErr w:type="spellEnd"/>
      <w:r>
        <w:rPr>
          <w:rFonts w:ascii="TTE2C092C8t00" w:hAnsi="TTE2C092C8t00" w:cs="TTE2C092C8t00"/>
        </w:rPr>
        <w:t xml:space="preserve"> </w:t>
      </w:r>
      <w:proofErr w:type="spellStart"/>
      <w:r>
        <w:rPr>
          <w:rFonts w:ascii="TTE2C092C8t00" w:hAnsi="TTE2C092C8t00" w:cs="TTE2C092C8t00"/>
        </w:rPr>
        <w:t>gyrus</w:t>
      </w:r>
      <w:proofErr w:type="spellEnd"/>
      <w:r>
        <w:rPr>
          <w:rFonts w:ascii="TTE2C092C8t00" w:hAnsi="TTE2C092C8t00" w:cs="TTE2C092C8t00"/>
        </w:rPr>
        <w:t xml:space="preserve"> (primary motor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proofErr w:type="gramStart"/>
      <w:r>
        <w:rPr>
          <w:rFonts w:ascii="TTE2C092C8t00" w:hAnsi="TTE2C092C8t00" w:cs="TTE2C092C8t00"/>
        </w:rPr>
        <w:t>cortex</w:t>
      </w:r>
      <w:proofErr w:type="gramEnd"/>
      <w:r>
        <w:rPr>
          <w:rFonts w:ascii="TTE2C092C8t00" w:hAnsi="TTE2C092C8t00" w:cs="TTE2C092C8t00"/>
        </w:rPr>
        <w:t>)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proofErr w:type="spellStart"/>
      <w:r>
        <w:rPr>
          <w:rFonts w:ascii="TTE2C092C8t00" w:hAnsi="TTE2C092C8t00" w:cs="TTE2C092C8t00"/>
        </w:rPr>
        <w:t>Postcentral</w:t>
      </w:r>
      <w:proofErr w:type="spellEnd"/>
      <w:r>
        <w:rPr>
          <w:rFonts w:ascii="TTE2C092C8t00" w:hAnsi="TTE2C092C8t00" w:cs="TTE2C092C8t00"/>
        </w:rPr>
        <w:t xml:space="preserve"> </w:t>
      </w:r>
      <w:proofErr w:type="spellStart"/>
      <w:r>
        <w:rPr>
          <w:rFonts w:ascii="TTE2C092C8t00" w:hAnsi="TTE2C092C8t00" w:cs="TTE2C092C8t00"/>
        </w:rPr>
        <w:t>gyrus</w:t>
      </w:r>
      <w:proofErr w:type="spellEnd"/>
      <w:r>
        <w:rPr>
          <w:rFonts w:ascii="TTE2C092C8t00" w:hAnsi="TTE2C092C8t00" w:cs="TTE2C092C8t00"/>
        </w:rPr>
        <w:t xml:space="preserve"> (primary sensory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proofErr w:type="gramStart"/>
      <w:r>
        <w:rPr>
          <w:rFonts w:ascii="TTE2C092C8t00" w:hAnsi="TTE2C092C8t00" w:cs="TTE2C092C8t00"/>
        </w:rPr>
        <w:t>cortex</w:t>
      </w:r>
      <w:proofErr w:type="gramEnd"/>
      <w:r>
        <w:rPr>
          <w:rFonts w:ascii="TTE2C092C8t00" w:hAnsi="TTE2C092C8t00" w:cs="TTE2C092C8t00"/>
        </w:rPr>
        <w:t>)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Frontal lobe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Prefrontal cortex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(</w:t>
      </w:r>
      <w:proofErr w:type="gramStart"/>
      <w:r>
        <w:rPr>
          <w:rFonts w:ascii="TTE2C092C8t00" w:hAnsi="TTE2C092C8t00" w:cs="TTE2C092C8t00"/>
        </w:rPr>
        <w:t>executive</w:t>
      </w:r>
      <w:proofErr w:type="gramEnd"/>
      <w:r>
        <w:rPr>
          <w:rFonts w:ascii="TTE2C092C8t00" w:hAnsi="TTE2C092C8t00" w:cs="TTE2C092C8t00"/>
        </w:rPr>
        <w:t xml:space="preserve"> functions)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Motor cortex (movement)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Gustatory cortex (taste)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Temporal lobe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Auditory cortex (hearing)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Olfactory cortex (smell)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Parietal lobe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Sensory cortex (touch,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proofErr w:type="gramStart"/>
      <w:r>
        <w:rPr>
          <w:rFonts w:ascii="TTE2C092C8t00" w:hAnsi="TTE2C092C8t00" w:cs="TTE2C092C8t00"/>
        </w:rPr>
        <w:t>pain</w:t>
      </w:r>
      <w:proofErr w:type="gramEnd"/>
      <w:r>
        <w:rPr>
          <w:rFonts w:ascii="TTE2C092C8t00" w:hAnsi="TTE2C092C8t00" w:cs="TTE2C092C8t00"/>
        </w:rPr>
        <w:t>, temp)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Occipital lobe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Visual cortex (sight)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Association areas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Corpus callosum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General interpretive area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(Wernicke’s area)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Speech center (</w:t>
      </w:r>
      <w:proofErr w:type="spellStart"/>
      <w:r>
        <w:rPr>
          <w:rFonts w:ascii="TTE2C092C8t00" w:hAnsi="TTE2C092C8t00" w:cs="TTE2C092C8t00"/>
        </w:rPr>
        <w:t>Broca’s</w:t>
      </w:r>
      <w:proofErr w:type="spellEnd"/>
      <w:r>
        <w:rPr>
          <w:rFonts w:ascii="TTE2C092C8t00" w:hAnsi="TTE2C092C8t00" w:cs="TTE2C092C8t00"/>
        </w:rPr>
        <w:t xml:space="preserve"> area)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Hemispheric lateralization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Reflex</w:t>
      </w:r>
    </w:p>
    <w:p w:rsidR="002118B9" w:rsidRDefault="002118B9" w:rsidP="002118B9">
      <w:pPr>
        <w:autoSpaceDE w:val="0"/>
        <w:autoSpaceDN w:val="0"/>
        <w:adjustRightInd w:val="0"/>
        <w:spacing w:after="0" w:line="240" w:lineRule="auto"/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Reflex arc</w:t>
      </w:r>
    </w:p>
    <w:p w:rsidR="002118B9" w:rsidRDefault="002118B9" w:rsidP="002118B9">
      <w:pPr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Monosynaptic reflex</w:t>
      </w:r>
      <w:r w:rsidRPr="002118B9">
        <w:rPr>
          <w:rFonts w:ascii="TTE2C092C8t00" w:hAnsi="TTE2C092C8t00" w:cs="TTE2C092C8t00"/>
        </w:rPr>
        <w:t xml:space="preserve"> </w:t>
      </w:r>
      <w:proofErr w:type="gramStart"/>
      <w:r>
        <w:rPr>
          <w:rFonts w:ascii="TTE2C092C8t00" w:hAnsi="TTE2C092C8t00" w:cs="TTE2C092C8t00"/>
        </w:rPr>
        <w:t>Polysynaptic</w:t>
      </w:r>
      <w:proofErr w:type="gramEnd"/>
      <w:r>
        <w:rPr>
          <w:rFonts w:ascii="TTE2C092C8t00" w:hAnsi="TTE2C092C8t00" w:cs="TTE2C092C8t00"/>
        </w:rPr>
        <w:t xml:space="preserve"> reflex</w:t>
      </w:r>
    </w:p>
    <w:p w:rsidR="002118B9" w:rsidRPr="002118B9" w:rsidRDefault="002118B9" w:rsidP="002118B9">
      <w:pPr>
        <w:rPr>
          <w:rFonts w:ascii="TTE2C092C8t00" w:hAnsi="TTE2C092C8t00" w:cs="TTE2C092C8t00"/>
        </w:rPr>
      </w:pPr>
      <w:r>
        <w:rPr>
          <w:rFonts w:ascii="TTE2C092C8t00" w:hAnsi="TTE2C092C8t00" w:cs="TTE2C092C8t00"/>
        </w:rPr>
        <w:t>**Good Luck**</w:t>
      </w:r>
      <w:bookmarkStart w:id="0" w:name="_GoBack"/>
      <w:bookmarkEnd w:id="0"/>
    </w:p>
    <w:sectPr w:rsidR="002118B9" w:rsidRPr="002118B9" w:rsidSect="002118B9">
      <w:type w:val="continuous"/>
      <w:pgSz w:w="12240" w:h="15840"/>
      <w:pgMar w:top="1440" w:right="1440" w:bottom="1440" w:left="1440" w:header="720" w:footer="720" w:gutter="0"/>
      <w:cols w:num="3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TE2C092C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8B9"/>
    <w:rsid w:val="00003482"/>
    <w:rsid w:val="00005594"/>
    <w:rsid w:val="0001548B"/>
    <w:rsid w:val="0002224F"/>
    <w:rsid w:val="00022526"/>
    <w:rsid w:val="000233B3"/>
    <w:rsid w:val="0002420B"/>
    <w:rsid w:val="000342FD"/>
    <w:rsid w:val="00034755"/>
    <w:rsid w:val="00044179"/>
    <w:rsid w:val="00045CDF"/>
    <w:rsid w:val="0004773E"/>
    <w:rsid w:val="000542DB"/>
    <w:rsid w:val="00057AFC"/>
    <w:rsid w:val="00060B23"/>
    <w:rsid w:val="00077C61"/>
    <w:rsid w:val="00080B12"/>
    <w:rsid w:val="00082AB7"/>
    <w:rsid w:val="0009061D"/>
    <w:rsid w:val="00090F28"/>
    <w:rsid w:val="0009556B"/>
    <w:rsid w:val="000961E8"/>
    <w:rsid w:val="000A0FB7"/>
    <w:rsid w:val="000A424F"/>
    <w:rsid w:val="000A4C83"/>
    <w:rsid w:val="000A5BF6"/>
    <w:rsid w:val="000A724D"/>
    <w:rsid w:val="000A741A"/>
    <w:rsid w:val="000B10A1"/>
    <w:rsid w:val="000B2FA2"/>
    <w:rsid w:val="000B6565"/>
    <w:rsid w:val="000C2A50"/>
    <w:rsid w:val="000C4BBA"/>
    <w:rsid w:val="000C5A59"/>
    <w:rsid w:val="000C6E33"/>
    <w:rsid w:val="000D06A4"/>
    <w:rsid w:val="000D072C"/>
    <w:rsid w:val="000D1575"/>
    <w:rsid w:val="000D233D"/>
    <w:rsid w:val="000F2631"/>
    <w:rsid w:val="000F32F1"/>
    <w:rsid w:val="000F7F99"/>
    <w:rsid w:val="001011F6"/>
    <w:rsid w:val="00111703"/>
    <w:rsid w:val="00116747"/>
    <w:rsid w:val="001277F3"/>
    <w:rsid w:val="001312B8"/>
    <w:rsid w:val="00135991"/>
    <w:rsid w:val="00136351"/>
    <w:rsid w:val="001405B7"/>
    <w:rsid w:val="00146DE1"/>
    <w:rsid w:val="00152F05"/>
    <w:rsid w:val="00161F24"/>
    <w:rsid w:val="001643E8"/>
    <w:rsid w:val="0017387C"/>
    <w:rsid w:val="00174056"/>
    <w:rsid w:val="00182293"/>
    <w:rsid w:val="00187EBF"/>
    <w:rsid w:val="00190271"/>
    <w:rsid w:val="001A173F"/>
    <w:rsid w:val="001A4141"/>
    <w:rsid w:val="001B0396"/>
    <w:rsid w:val="001B117F"/>
    <w:rsid w:val="001B2C0C"/>
    <w:rsid w:val="001B5E5E"/>
    <w:rsid w:val="001B629E"/>
    <w:rsid w:val="001B6426"/>
    <w:rsid w:val="001C75B0"/>
    <w:rsid w:val="001D23ED"/>
    <w:rsid w:val="001D6FCE"/>
    <w:rsid w:val="001F116E"/>
    <w:rsid w:val="001F4E6F"/>
    <w:rsid w:val="001F698D"/>
    <w:rsid w:val="00204C9A"/>
    <w:rsid w:val="00207ED4"/>
    <w:rsid w:val="002118B9"/>
    <w:rsid w:val="00213EB2"/>
    <w:rsid w:val="00214161"/>
    <w:rsid w:val="00216E0A"/>
    <w:rsid w:val="00217562"/>
    <w:rsid w:val="00220311"/>
    <w:rsid w:val="00222CCB"/>
    <w:rsid w:val="0022371E"/>
    <w:rsid w:val="00223749"/>
    <w:rsid w:val="00231131"/>
    <w:rsid w:val="00231A55"/>
    <w:rsid w:val="0023341D"/>
    <w:rsid w:val="00234225"/>
    <w:rsid w:val="00235197"/>
    <w:rsid w:val="0023611E"/>
    <w:rsid w:val="002409DB"/>
    <w:rsid w:val="00241317"/>
    <w:rsid w:val="002425EF"/>
    <w:rsid w:val="0025215B"/>
    <w:rsid w:val="00272BDF"/>
    <w:rsid w:val="002758C7"/>
    <w:rsid w:val="00276535"/>
    <w:rsid w:val="00277BA5"/>
    <w:rsid w:val="002805C9"/>
    <w:rsid w:val="002813CD"/>
    <w:rsid w:val="002834AC"/>
    <w:rsid w:val="002846C4"/>
    <w:rsid w:val="002903C5"/>
    <w:rsid w:val="00297E5B"/>
    <w:rsid w:val="002B1814"/>
    <w:rsid w:val="002B2B47"/>
    <w:rsid w:val="002B6D22"/>
    <w:rsid w:val="002B7AEB"/>
    <w:rsid w:val="002C045A"/>
    <w:rsid w:val="002C2D49"/>
    <w:rsid w:val="002C585B"/>
    <w:rsid w:val="002C712E"/>
    <w:rsid w:val="002D23DE"/>
    <w:rsid w:val="002D2887"/>
    <w:rsid w:val="002D3415"/>
    <w:rsid w:val="002E712F"/>
    <w:rsid w:val="002F030C"/>
    <w:rsid w:val="002F18FC"/>
    <w:rsid w:val="002F3807"/>
    <w:rsid w:val="002F3C42"/>
    <w:rsid w:val="002F5AB1"/>
    <w:rsid w:val="002F7475"/>
    <w:rsid w:val="00300CF1"/>
    <w:rsid w:val="003070D6"/>
    <w:rsid w:val="00315563"/>
    <w:rsid w:val="00315756"/>
    <w:rsid w:val="00321E79"/>
    <w:rsid w:val="00326B5E"/>
    <w:rsid w:val="00332D5D"/>
    <w:rsid w:val="00335396"/>
    <w:rsid w:val="00336E82"/>
    <w:rsid w:val="00346468"/>
    <w:rsid w:val="0035147A"/>
    <w:rsid w:val="0035538D"/>
    <w:rsid w:val="0036312A"/>
    <w:rsid w:val="0036494C"/>
    <w:rsid w:val="003738B2"/>
    <w:rsid w:val="00375E92"/>
    <w:rsid w:val="00377642"/>
    <w:rsid w:val="00383E57"/>
    <w:rsid w:val="00387C5E"/>
    <w:rsid w:val="00390E07"/>
    <w:rsid w:val="00396781"/>
    <w:rsid w:val="00396B91"/>
    <w:rsid w:val="003A380F"/>
    <w:rsid w:val="003A4094"/>
    <w:rsid w:val="003A50EF"/>
    <w:rsid w:val="003B196E"/>
    <w:rsid w:val="003B4B1D"/>
    <w:rsid w:val="003C12CF"/>
    <w:rsid w:val="003C1834"/>
    <w:rsid w:val="003C3A24"/>
    <w:rsid w:val="003D3CFB"/>
    <w:rsid w:val="003D3E28"/>
    <w:rsid w:val="003E0E97"/>
    <w:rsid w:val="003E475E"/>
    <w:rsid w:val="003F04FB"/>
    <w:rsid w:val="003F6CB7"/>
    <w:rsid w:val="00400DEA"/>
    <w:rsid w:val="00405C52"/>
    <w:rsid w:val="0040667D"/>
    <w:rsid w:val="00407259"/>
    <w:rsid w:val="00407A77"/>
    <w:rsid w:val="00407EE5"/>
    <w:rsid w:val="00422D6C"/>
    <w:rsid w:val="00424B42"/>
    <w:rsid w:val="00426E9F"/>
    <w:rsid w:val="00432D0F"/>
    <w:rsid w:val="00434B6F"/>
    <w:rsid w:val="00445701"/>
    <w:rsid w:val="00450694"/>
    <w:rsid w:val="00452862"/>
    <w:rsid w:val="00453D8D"/>
    <w:rsid w:val="00454B6E"/>
    <w:rsid w:val="0046074D"/>
    <w:rsid w:val="004635E4"/>
    <w:rsid w:val="0046748A"/>
    <w:rsid w:val="00482BCA"/>
    <w:rsid w:val="0048376D"/>
    <w:rsid w:val="00483C35"/>
    <w:rsid w:val="004901D9"/>
    <w:rsid w:val="00490289"/>
    <w:rsid w:val="004948DD"/>
    <w:rsid w:val="004A1D69"/>
    <w:rsid w:val="004A495D"/>
    <w:rsid w:val="004A56ED"/>
    <w:rsid w:val="004A6280"/>
    <w:rsid w:val="004B047B"/>
    <w:rsid w:val="004B0A37"/>
    <w:rsid w:val="004B188B"/>
    <w:rsid w:val="004B45F3"/>
    <w:rsid w:val="004C0AD1"/>
    <w:rsid w:val="004C435B"/>
    <w:rsid w:val="004D34D6"/>
    <w:rsid w:val="004D7B53"/>
    <w:rsid w:val="004E24B7"/>
    <w:rsid w:val="004E2E1A"/>
    <w:rsid w:val="004E5134"/>
    <w:rsid w:val="004E55B0"/>
    <w:rsid w:val="004F5F63"/>
    <w:rsid w:val="004F6C38"/>
    <w:rsid w:val="00503130"/>
    <w:rsid w:val="005107CD"/>
    <w:rsid w:val="00511E06"/>
    <w:rsid w:val="0051221D"/>
    <w:rsid w:val="0051253C"/>
    <w:rsid w:val="00513896"/>
    <w:rsid w:val="0051438A"/>
    <w:rsid w:val="00522DBD"/>
    <w:rsid w:val="005311A4"/>
    <w:rsid w:val="00545F59"/>
    <w:rsid w:val="00547C7C"/>
    <w:rsid w:val="00550D4F"/>
    <w:rsid w:val="00551357"/>
    <w:rsid w:val="005518E4"/>
    <w:rsid w:val="005575A8"/>
    <w:rsid w:val="00560C1D"/>
    <w:rsid w:val="0056733F"/>
    <w:rsid w:val="00570ADE"/>
    <w:rsid w:val="00580354"/>
    <w:rsid w:val="005933BD"/>
    <w:rsid w:val="005A2DEF"/>
    <w:rsid w:val="005A3803"/>
    <w:rsid w:val="005B07FD"/>
    <w:rsid w:val="005B21D3"/>
    <w:rsid w:val="005C0862"/>
    <w:rsid w:val="005C5F29"/>
    <w:rsid w:val="005D7525"/>
    <w:rsid w:val="005E0D9D"/>
    <w:rsid w:val="005E6DEA"/>
    <w:rsid w:val="005F00C3"/>
    <w:rsid w:val="005F5A38"/>
    <w:rsid w:val="005F6153"/>
    <w:rsid w:val="00600F07"/>
    <w:rsid w:val="006134AE"/>
    <w:rsid w:val="00616991"/>
    <w:rsid w:val="0061769D"/>
    <w:rsid w:val="00631E96"/>
    <w:rsid w:val="00633511"/>
    <w:rsid w:val="006376D1"/>
    <w:rsid w:val="00637E18"/>
    <w:rsid w:val="00646248"/>
    <w:rsid w:val="006507B9"/>
    <w:rsid w:val="00656835"/>
    <w:rsid w:val="00656E47"/>
    <w:rsid w:val="00662761"/>
    <w:rsid w:val="00667628"/>
    <w:rsid w:val="00667AAE"/>
    <w:rsid w:val="0067263E"/>
    <w:rsid w:val="00684F41"/>
    <w:rsid w:val="00685FCC"/>
    <w:rsid w:val="00686AC3"/>
    <w:rsid w:val="0068750D"/>
    <w:rsid w:val="00690FBE"/>
    <w:rsid w:val="00695D7E"/>
    <w:rsid w:val="006A1815"/>
    <w:rsid w:val="006B1187"/>
    <w:rsid w:val="006B13F5"/>
    <w:rsid w:val="006B164A"/>
    <w:rsid w:val="006B6949"/>
    <w:rsid w:val="006C039C"/>
    <w:rsid w:val="006C4A8C"/>
    <w:rsid w:val="006C7D47"/>
    <w:rsid w:val="006C7E3F"/>
    <w:rsid w:val="006D78BE"/>
    <w:rsid w:val="006E393B"/>
    <w:rsid w:val="006E3C41"/>
    <w:rsid w:val="006E5C4F"/>
    <w:rsid w:val="006F1674"/>
    <w:rsid w:val="006F16CE"/>
    <w:rsid w:val="006F520C"/>
    <w:rsid w:val="006F7A8E"/>
    <w:rsid w:val="007035EF"/>
    <w:rsid w:val="00703720"/>
    <w:rsid w:val="00704FE8"/>
    <w:rsid w:val="00705750"/>
    <w:rsid w:val="00727485"/>
    <w:rsid w:val="0073026C"/>
    <w:rsid w:val="00737CE8"/>
    <w:rsid w:val="007503F9"/>
    <w:rsid w:val="0075067C"/>
    <w:rsid w:val="00755C71"/>
    <w:rsid w:val="00762CAA"/>
    <w:rsid w:val="007648AC"/>
    <w:rsid w:val="0077087A"/>
    <w:rsid w:val="00773FD6"/>
    <w:rsid w:val="0077550C"/>
    <w:rsid w:val="00781E33"/>
    <w:rsid w:val="007A186A"/>
    <w:rsid w:val="007B253F"/>
    <w:rsid w:val="007B5012"/>
    <w:rsid w:val="007B602B"/>
    <w:rsid w:val="007C5BB2"/>
    <w:rsid w:val="007D10A7"/>
    <w:rsid w:val="007D2C52"/>
    <w:rsid w:val="007D2FDC"/>
    <w:rsid w:val="007E25CB"/>
    <w:rsid w:val="007E2828"/>
    <w:rsid w:val="007E28C4"/>
    <w:rsid w:val="007E29AE"/>
    <w:rsid w:val="007F3B92"/>
    <w:rsid w:val="007F6205"/>
    <w:rsid w:val="0080330B"/>
    <w:rsid w:val="008049A9"/>
    <w:rsid w:val="00822408"/>
    <w:rsid w:val="00833092"/>
    <w:rsid w:val="008333CB"/>
    <w:rsid w:val="00841FA5"/>
    <w:rsid w:val="00846D06"/>
    <w:rsid w:val="00863449"/>
    <w:rsid w:val="008666AF"/>
    <w:rsid w:val="00873FC7"/>
    <w:rsid w:val="008742CE"/>
    <w:rsid w:val="00874B37"/>
    <w:rsid w:val="00877E9C"/>
    <w:rsid w:val="008871F3"/>
    <w:rsid w:val="00894058"/>
    <w:rsid w:val="00896C0C"/>
    <w:rsid w:val="008A0A75"/>
    <w:rsid w:val="008A1614"/>
    <w:rsid w:val="008A3437"/>
    <w:rsid w:val="008A3FEB"/>
    <w:rsid w:val="008A52DA"/>
    <w:rsid w:val="008A6B70"/>
    <w:rsid w:val="008C4706"/>
    <w:rsid w:val="008C6BE9"/>
    <w:rsid w:val="008D0529"/>
    <w:rsid w:val="008D550C"/>
    <w:rsid w:val="008E00C8"/>
    <w:rsid w:val="008E3849"/>
    <w:rsid w:val="008E491A"/>
    <w:rsid w:val="008E7AF7"/>
    <w:rsid w:val="008F4134"/>
    <w:rsid w:val="00906134"/>
    <w:rsid w:val="0091001E"/>
    <w:rsid w:val="00910782"/>
    <w:rsid w:val="00910FE1"/>
    <w:rsid w:val="009115E7"/>
    <w:rsid w:val="00912871"/>
    <w:rsid w:val="009129F9"/>
    <w:rsid w:val="0091500E"/>
    <w:rsid w:val="0091505F"/>
    <w:rsid w:val="0092314D"/>
    <w:rsid w:val="0092488A"/>
    <w:rsid w:val="00926654"/>
    <w:rsid w:val="009325B0"/>
    <w:rsid w:val="00934291"/>
    <w:rsid w:val="0095070D"/>
    <w:rsid w:val="009557B8"/>
    <w:rsid w:val="00955930"/>
    <w:rsid w:val="009576D9"/>
    <w:rsid w:val="0096361D"/>
    <w:rsid w:val="009636E8"/>
    <w:rsid w:val="00967512"/>
    <w:rsid w:val="00973221"/>
    <w:rsid w:val="0099122C"/>
    <w:rsid w:val="009A18D0"/>
    <w:rsid w:val="009B1635"/>
    <w:rsid w:val="009B5F8D"/>
    <w:rsid w:val="009B6707"/>
    <w:rsid w:val="009C41F5"/>
    <w:rsid w:val="009C64AE"/>
    <w:rsid w:val="009C66D0"/>
    <w:rsid w:val="009C6AC1"/>
    <w:rsid w:val="009D2116"/>
    <w:rsid w:val="009D34D0"/>
    <w:rsid w:val="009F3469"/>
    <w:rsid w:val="009F4A4B"/>
    <w:rsid w:val="00A252AC"/>
    <w:rsid w:val="00A25E00"/>
    <w:rsid w:val="00A31771"/>
    <w:rsid w:val="00A328CF"/>
    <w:rsid w:val="00A34014"/>
    <w:rsid w:val="00A42DB0"/>
    <w:rsid w:val="00A45088"/>
    <w:rsid w:val="00A505A4"/>
    <w:rsid w:val="00A56241"/>
    <w:rsid w:val="00A71CF6"/>
    <w:rsid w:val="00A76703"/>
    <w:rsid w:val="00A80296"/>
    <w:rsid w:val="00A8184A"/>
    <w:rsid w:val="00A8699F"/>
    <w:rsid w:val="00A935F1"/>
    <w:rsid w:val="00A9558C"/>
    <w:rsid w:val="00AA0540"/>
    <w:rsid w:val="00AA1927"/>
    <w:rsid w:val="00AA3681"/>
    <w:rsid w:val="00AA6031"/>
    <w:rsid w:val="00AA6256"/>
    <w:rsid w:val="00AB62B4"/>
    <w:rsid w:val="00AB648B"/>
    <w:rsid w:val="00AC1562"/>
    <w:rsid w:val="00AC4AC0"/>
    <w:rsid w:val="00AC774B"/>
    <w:rsid w:val="00AC78E3"/>
    <w:rsid w:val="00AD286B"/>
    <w:rsid w:val="00AD3126"/>
    <w:rsid w:val="00AD4CA4"/>
    <w:rsid w:val="00AD6F5F"/>
    <w:rsid w:val="00AE6F73"/>
    <w:rsid w:val="00AF3A1E"/>
    <w:rsid w:val="00B02E01"/>
    <w:rsid w:val="00B05D18"/>
    <w:rsid w:val="00B07DD0"/>
    <w:rsid w:val="00B14AEF"/>
    <w:rsid w:val="00B15889"/>
    <w:rsid w:val="00B20791"/>
    <w:rsid w:val="00B24084"/>
    <w:rsid w:val="00B24A8F"/>
    <w:rsid w:val="00B2696A"/>
    <w:rsid w:val="00B321B8"/>
    <w:rsid w:val="00B34163"/>
    <w:rsid w:val="00B47A0F"/>
    <w:rsid w:val="00B55DAE"/>
    <w:rsid w:val="00B601EF"/>
    <w:rsid w:val="00B63917"/>
    <w:rsid w:val="00B64CFB"/>
    <w:rsid w:val="00B651FB"/>
    <w:rsid w:val="00B7039D"/>
    <w:rsid w:val="00B76A9A"/>
    <w:rsid w:val="00B83507"/>
    <w:rsid w:val="00B94578"/>
    <w:rsid w:val="00B9611C"/>
    <w:rsid w:val="00B96C40"/>
    <w:rsid w:val="00BA261A"/>
    <w:rsid w:val="00BB6641"/>
    <w:rsid w:val="00BC6805"/>
    <w:rsid w:val="00BD0EE1"/>
    <w:rsid w:val="00BD5718"/>
    <w:rsid w:val="00BD5A09"/>
    <w:rsid w:val="00BE12A2"/>
    <w:rsid w:val="00BE27C3"/>
    <w:rsid w:val="00BF38A6"/>
    <w:rsid w:val="00BF6CC6"/>
    <w:rsid w:val="00BF72B6"/>
    <w:rsid w:val="00BF7D74"/>
    <w:rsid w:val="00C01824"/>
    <w:rsid w:val="00C01A98"/>
    <w:rsid w:val="00C1191F"/>
    <w:rsid w:val="00C11BCE"/>
    <w:rsid w:val="00C12EAE"/>
    <w:rsid w:val="00C14BEC"/>
    <w:rsid w:val="00C2465C"/>
    <w:rsid w:val="00C27822"/>
    <w:rsid w:val="00C3185E"/>
    <w:rsid w:val="00C36340"/>
    <w:rsid w:val="00C378F8"/>
    <w:rsid w:val="00C3798F"/>
    <w:rsid w:val="00C37A3D"/>
    <w:rsid w:val="00C41B36"/>
    <w:rsid w:val="00C455E7"/>
    <w:rsid w:val="00C469AE"/>
    <w:rsid w:val="00C53CBE"/>
    <w:rsid w:val="00C56DB5"/>
    <w:rsid w:val="00C7268E"/>
    <w:rsid w:val="00C77701"/>
    <w:rsid w:val="00C80B67"/>
    <w:rsid w:val="00C815AF"/>
    <w:rsid w:val="00C83E6C"/>
    <w:rsid w:val="00C908E3"/>
    <w:rsid w:val="00C91187"/>
    <w:rsid w:val="00C91394"/>
    <w:rsid w:val="00CA2B5D"/>
    <w:rsid w:val="00CA53E6"/>
    <w:rsid w:val="00CB6AB0"/>
    <w:rsid w:val="00CC2CB9"/>
    <w:rsid w:val="00CC3D05"/>
    <w:rsid w:val="00CC5369"/>
    <w:rsid w:val="00CC795D"/>
    <w:rsid w:val="00CD40D0"/>
    <w:rsid w:val="00CD6991"/>
    <w:rsid w:val="00CD7783"/>
    <w:rsid w:val="00CD7AC7"/>
    <w:rsid w:val="00CE05BE"/>
    <w:rsid w:val="00CF1F9B"/>
    <w:rsid w:val="00CF295C"/>
    <w:rsid w:val="00CF45A3"/>
    <w:rsid w:val="00CF7B0F"/>
    <w:rsid w:val="00D03053"/>
    <w:rsid w:val="00D06C91"/>
    <w:rsid w:val="00D20157"/>
    <w:rsid w:val="00D261EA"/>
    <w:rsid w:val="00D30002"/>
    <w:rsid w:val="00D3261D"/>
    <w:rsid w:val="00D32DEF"/>
    <w:rsid w:val="00D368CE"/>
    <w:rsid w:val="00D37CF3"/>
    <w:rsid w:val="00D4191F"/>
    <w:rsid w:val="00D42B38"/>
    <w:rsid w:val="00D45643"/>
    <w:rsid w:val="00D461A3"/>
    <w:rsid w:val="00D51A8F"/>
    <w:rsid w:val="00D62BD7"/>
    <w:rsid w:val="00D65A6D"/>
    <w:rsid w:val="00D664AC"/>
    <w:rsid w:val="00D66B53"/>
    <w:rsid w:val="00D74E38"/>
    <w:rsid w:val="00D805D0"/>
    <w:rsid w:val="00D932B6"/>
    <w:rsid w:val="00D94D0B"/>
    <w:rsid w:val="00D97FA5"/>
    <w:rsid w:val="00DA0879"/>
    <w:rsid w:val="00DA1D14"/>
    <w:rsid w:val="00DA219F"/>
    <w:rsid w:val="00DC5818"/>
    <w:rsid w:val="00DC6C88"/>
    <w:rsid w:val="00DD3714"/>
    <w:rsid w:val="00DD4631"/>
    <w:rsid w:val="00DE0078"/>
    <w:rsid w:val="00DE28BD"/>
    <w:rsid w:val="00DF334C"/>
    <w:rsid w:val="00DF7D5F"/>
    <w:rsid w:val="00E009D6"/>
    <w:rsid w:val="00E00CB6"/>
    <w:rsid w:val="00E12822"/>
    <w:rsid w:val="00E1298F"/>
    <w:rsid w:val="00E16BC5"/>
    <w:rsid w:val="00E24B99"/>
    <w:rsid w:val="00E2730F"/>
    <w:rsid w:val="00E36EC4"/>
    <w:rsid w:val="00E44B82"/>
    <w:rsid w:val="00E45DEC"/>
    <w:rsid w:val="00E47EF8"/>
    <w:rsid w:val="00E50D83"/>
    <w:rsid w:val="00E52490"/>
    <w:rsid w:val="00E5569D"/>
    <w:rsid w:val="00E562EE"/>
    <w:rsid w:val="00E6017F"/>
    <w:rsid w:val="00E603B2"/>
    <w:rsid w:val="00E74261"/>
    <w:rsid w:val="00E75FBB"/>
    <w:rsid w:val="00E82174"/>
    <w:rsid w:val="00E86BCB"/>
    <w:rsid w:val="00E9739F"/>
    <w:rsid w:val="00EA5B25"/>
    <w:rsid w:val="00EA7545"/>
    <w:rsid w:val="00EC01B5"/>
    <w:rsid w:val="00EC04F2"/>
    <w:rsid w:val="00EC180D"/>
    <w:rsid w:val="00ED2E36"/>
    <w:rsid w:val="00ED7767"/>
    <w:rsid w:val="00ED7A15"/>
    <w:rsid w:val="00EE2AB4"/>
    <w:rsid w:val="00EE3E12"/>
    <w:rsid w:val="00EF08D4"/>
    <w:rsid w:val="00EF0A6C"/>
    <w:rsid w:val="00EF0EDF"/>
    <w:rsid w:val="00EF4954"/>
    <w:rsid w:val="00EF5F37"/>
    <w:rsid w:val="00F0091A"/>
    <w:rsid w:val="00F00CEF"/>
    <w:rsid w:val="00F02D90"/>
    <w:rsid w:val="00F02F5F"/>
    <w:rsid w:val="00F030DE"/>
    <w:rsid w:val="00F03EEF"/>
    <w:rsid w:val="00F0514F"/>
    <w:rsid w:val="00F073A1"/>
    <w:rsid w:val="00F16EC2"/>
    <w:rsid w:val="00F1794B"/>
    <w:rsid w:val="00F3740E"/>
    <w:rsid w:val="00F42D42"/>
    <w:rsid w:val="00F45DEA"/>
    <w:rsid w:val="00F47B50"/>
    <w:rsid w:val="00F5494A"/>
    <w:rsid w:val="00F56932"/>
    <w:rsid w:val="00F56E0F"/>
    <w:rsid w:val="00F63F84"/>
    <w:rsid w:val="00F65974"/>
    <w:rsid w:val="00F6686E"/>
    <w:rsid w:val="00F673B4"/>
    <w:rsid w:val="00F70868"/>
    <w:rsid w:val="00F70A99"/>
    <w:rsid w:val="00F73131"/>
    <w:rsid w:val="00F963F1"/>
    <w:rsid w:val="00FA1AC1"/>
    <w:rsid w:val="00FA4AA4"/>
    <w:rsid w:val="00FB49C8"/>
    <w:rsid w:val="00FC1E46"/>
    <w:rsid w:val="00FC35A7"/>
    <w:rsid w:val="00FC5868"/>
    <w:rsid w:val="00FC5C81"/>
    <w:rsid w:val="00FD1407"/>
    <w:rsid w:val="00FE7EA7"/>
    <w:rsid w:val="00FF1825"/>
    <w:rsid w:val="00FF6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Goosby</dc:creator>
  <cp:lastModifiedBy>Adam Goosby</cp:lastModifiedBy>
  <cp:revision>1</cp:revision>
  <dcterms:created xsi:type="dcterms:W3CDTF">2013-12-16T01:43:00Z</dcterms:created>
  <dcterms:modified xsi:type="dcterms:W3CDTF">2013-12-16T01:46:00Z</dcterms:modified>
</cp:coreProperties>
</file>